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before="480"/>
        <w:jc w:val="center"/>
      </w:pPr>
      <w:r>
        <w:rPr>
          <w:rFonts w:ascii="Arial" w:cs="Arial" w:eastAsia="Arial" w:hAnsi="Arial"/>
          <w:b/>
          <w:bCs/>
          <w:color w:val="1F4E79"/>
          <w:sz w:val="52"/>
          <w:szCs w:val="52"/>
        </w:rPr>
        <w:t xml:space="preserve">THE END OF THE FUTURE</w:t>
      </w:r>
    </w:p>
    <w:p>
      <w:pPr>
        <w:spacing w:after="80"/>
        <w:jc w:val="center"/>
      </w:pPr>
      <w:r>
        <w:rPr>
          <w:rFonts w:ascii="Arial" w:cs="Arial" w:eastAsia="Arial" w:hAnsi="Arial"/>
          <w:color w:val="595959"/>
          <w:sz w:val="26"/>
          <w:szCs w:val="26"/>
        </w:rPr>
        <w:t xml:space="preserve">Peter Thiel (National Review, October 2011)</w:t>
      </w:r>
    </w:p>
    <w:p>
      <w:pPr>
        <w:spacing w:after="400"/>
        <w:jc w:val="center"/>
      </w:pPr>
      <w:r>
        <w:rPr>
          <w:rFonts w:ascii="Arial" w:cs="Arial" w:eastAsia="Arial" w:hAnsi="Arial"/>
          <w:color w:val="2E75B6"/>
          <w:sz w:val="24"/>
          <w:szCs w:val="24"/>
        </w:rPr>
        <w:t xml:space="preserve">A Philosophical, Eschatological and Civilisational Analysis</w:t>
      </w:r>
    </w:p>
    <w:p>
      <w:pPr>
        <w:spacing w:after="80"/>
        <w:jc w:val="center"/>
      </w:pPr>
      <w:r>
        <w:rPr>
          <w:rFonts w:ascii="Arial" w:cs="Arial" w:eastAsia="Arial" w:hAnsi="Arial"/>
          <w:color w:val="595959"/>
          <w:sz w:val="20"/>
          <w:szCs w:val="20"/>
        </w:rPr>
        <w:t xml:space="preserve">Prepared by Colin Henderson | Bankwatch</w:t>
      </w:r>
    </w:p>
    <w:p>
      <w:pPr>
        <w:spacing w:after="480"/>
        <w:jc w:val="center"/>
      </w:pPr>
      <w:r>
        <w:rPr>
          <w:rFonts w:ascii="Arial" w:cs="Arial" w:eastAsia="Arial" w:hAnsi="Arial"/>
          <w:color w:val="595959"/>
          <w:sz w:val="20"/>
          <w:szCs w:val="20"/>
        </w:rPr>
        <w:t xml:space="preserve">May 2026</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Executive Summary</w:t>
      </w:r>
    </w:p>
    <w:p>
      <w:pPr>
        <w:spacing w:after="160"/>
      </w:pPr>
      <w:r>
        <w:rPr>
          <w:rFonts w:ascii="Arial" w:cs="Arial" w:eastAsia="Arial" w:hAnsi="Arial"/>
          <w:color w:val="000000"/>
          <w:sz w:val="22"/>
          <w:szCs w:val="22"/>
        </w:rPr>
        <w:t xml:space="preserve">Peter Thiel's 2011 essay is not primarily a religious text, a prophecy, or a conventional technology critique. It is a work of civilisational diagnosis — a fusion of empirical economic observation, Spenglerian cultural pessimism, and a particular strand of Christian eschatological framing. The Revelation epigraph is not decoration: it anchors Thiel's argument in a longstanding Western tradition that reads historical stagnation as moral and spiritual collapse, not merely technical failure.</w:t>
      </w:r>
    </w:p>
    <w:p>
      <w:pPr>
        <w:spacing w:after="160"/>
      </w:pPr>
      <w:r>
        <w:rPr>
          <w:rFonts w:ascii="Arial" w:cs="Arial" w:eastAsia="Arial" w:hAnsi="Arial"/>
          <w:color w:val="000000"/>
          <w:sz w:val="22"/>
          <w:szCs w:val="22"/>
        </w:rPr>
        <w:t xml:space="preserve">This report addresses three questions: (1) Is the argument philosophical, religious, or predictive? (2) What intellectual traditions does Thiel draw upon? (3) How should the argument be assessed against the 15 years of evidence since publication?</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1. The Epigraph: What Is Thiel Actually Saying?</w:t>
      </w:r>
    </w:p>
    <w:p>
      <w:pPr>
        <w:pStyle w:val="Heading2"/>
        <w:spacing w:after="120" w:before="240"/>
      </w:pPr>
      <w:r>
        <w:rPr>
          <w:rFonts w:ascii="Arial" w:cs="Arial" w:eastAsia="Arial" w:hAnsi="Arial"/>
          <w:b/>
          <w:bCs/>
          <w:color w:val="2E75B6"/>
          <w:sz w:val="26"/>
          <w:szCs w:val="26"/>
        </w:rPr>
        <w:t xml:space="preserve">1.1 The Third Seal of Revelation</w:t>
      </w:r>
    </w:p>
    <w:p>
      <w:pPr>
        <w:spacing w:after="160"/>
      </w:pPr>
      <w:r>
        <w:rPr>
          <w:rFonts w:ascii="Arial" w:cs="Arial" w:eastAsia="Arial" w:hAnsi="Arial"/>
          <w:color w:val="000000"/>
          <w:sz w:val="22"/>
          <w:szCs w:val="22"/>
        </w:rPr>
        <w:t xml:space="preserve">Thiel opens with Revelation 6:5–6, the Third Seal: a black horse whose rider holds scales, with a voice announcing grain prices and the injunction to “not harm the oil and the wine.” In classical biblical exegesis, this seal represents scarcity — economic famine — not the Antichrist directly. The four horsemen collectively figure catastrophic civilisational breakdown: conquest, war, famine, death.</w:t>
      </w:r>
    </w:p>
    <w:p>
      <w:pPr>
        <w:spacing w:after="160"/>
      </w:pPr>
      <w:r>
        <w:rPr>
          <w:rFonts w:ascii="Arial" w:cs="Arial" w:eastAsia="Arial" w:hAnsi="Arial"/>
          <w:color w:val="000000"/>
          <w:sz w:val="22"/>
          <w:szCs w:val="22"/>
        </w:rPr>
        <w:t xml:space="preserve">The seal Thiel chose is precise. It is not the first seal (triumphalism) or the second (war). It is specifically the seal of economic scarcity arising from failed productivity — the exact thesis of the essay that follows. This is not accidental. Thiel is using the Apocalypse as an intellectual lens, not a literal prophecy.</w:t>
      </w:r>
    </w:p>
    <w:p>
      <w:pPr>
        <w:pBdr>
          <w:left w:val="single" w:color="2E75B6" w:sz="12" w:space="10"/>
        </w:pBdr>
        <w:spacing w:after="160" w:before="120"/>
        <w:ind w:left="720" w:right="720"/>
      </w:pPr>
      <w:r>
        <w:rPr>
          <w:rFonts w:ascii="Arial" w:cs="Arial" w:eastAsia="Arial" w:hAnsi="Arial"/>
          <w:color w:val="595959"/>
          <w:sz w:val="20"/>
          <w:szCs w:val="20"/>
        </w:rPr>
        <w:t xml:space="preserve">"A quart of wheat for a denarius... and do not harm the oil and the wine." The scarcity hits staples. Luxuries — oil and wine, the goods of the elite — are protected. Thiel’s chosen epigraph encodes inequality alongside stagnation.</w:t>
      </w:r>
    </w:p>
    <w:p>
      <w:pPr>
        <w:pStyle w:val="Heading2"/>
        <w:spacing w:after="120" w:before="240"/>
      </w:pPr>
      <w:r>
        <w:rPr>
          <w:rFonts w:ascii="Arial" w:cs="Arial" w:eastAsia="Arial" w:hAnsi="Arial"/>
          <w:b/>
          <w:bCs/>
          <w:color w:val="2E75B6"/>
          <w:sz w:val="26"/>
          <w:szCs w:val="26"/>
        </w:rPr>
        <w:t xml:space="preserve">1.2 René Girard: The Hidden Theological Framework</w:t>
      </w:r>
    </w:p>
    <w:p>
      <w:pPr>
        <w:spacing w:after="160"/>
      </w:pPr>
      <w:r>
        <w:rPr>
          <w:rFonts w:ascii="Arial" w:cs="Arial" w:eastAsia="Arial" w:hAnsi="Arial"/>
          <w:color w:val="000000"/>
          <w:sz w:val="22"/>
          <w:szCs w:val="22"/>
        </w:rPr>
        <w:t xml:space="preserve">Thiel studied under René Girard at Stanford and has described him as the single greatest intellectual influence on his thinking. Girard’s mimetic theory — the idea that human desire is imitative, leading to rivalrous violence that requires a scapegoat mechanism to discharge — runs under the surface of this essay, though it is not explicitly cited.</w:t>
      </w:r>
    </w:p>
    <w:p>
      <w:pPr>
        <w:spacing w:after="160"/>
      </w:pPr>
      <w:r>
        <w:rPr>
          <w:rFonts w:ascii="Arial" w:cs="Arial" w:eastAsia="Arial" w:hAnsi="Arial"/>
          <w:color w:val="000000"/>
          <w:sz w:val="22"/>
          <w:szCs w:val="22"/>
        </w:rPr>
        <w:t xml:space="preserve">Girard read the Apocalypse not as supernaturalist prediction but as a structural description of what happens when mimetic rivalry escalates without the containing institutions (religion, monarchy, cultural hierarchy) that once managed it. In Girard’s reading, modernity progressively strips away those containing structures, leaving raw mimetic competition. Thiel’s “zero-sum politics” in Section VI is a Girardian formulation: when growth stops, the containing surplus disappears, and societies revert to rivalrous scapegoating.</w:t>
      </w:r>
    </w:p>
    <w:p>
      <w:pPr>
        <w:pStyle w:val="ListParagraph"/>
        <w:numPr>
          <w:ilvl w:val="0"/>
          <w:numId w:val="2"/>
        </w:numPr>
        <w:spacing w:after="80"/>
      </w:pPr>
      <w:r>
        <w:rPr>
          <w:rFonts w:ascii="Arial" w:cs="Arial" w:eastAsia="Arial" w:hAnsi="Arial"/>
          <w:sz w:val="22"/>
          <w:szCs w:val="22"/>
        </w:rPr>
        <w:t xml:space="preserve">Girard: Violence and the Sacred (1972)</w:t>
      </w:r>
    </w:p>
    <w:p>
      <w:pPr>
        <w:pStyle w:val="ListParagraph"/>
        <w:numPr>
          <w:ilvl w:val="0"/>
          <w:numId w:val="2"/>
        </w:numPr>
        <w:spacing w:after="80"/>
      </w:pPr>
      <w:r>
        <w:rPr>
          <w:rFonts w:ascii="Arial" w:cs="Arial" w:eastAsia="Arial" w:hAnsi="Arial"/>
          <w:sz w:val="22"/>
          <w:szCs w:val="22"/>
        </w:rPr>
        <w:t xml:space="preserve">Girard: Things Hidden Since the Foundation of the World (1978)</w:t>
      </w:r>
    </w:p>
    <w:p>
      <w:pPr>
        <w:pStyle w:val="ListParagraph"/>
        <w:numPr>
          <w:ilvl w:val="0"/>
          <w:numId w:val="2"/>
        </w:numPr>
        <w:spacing w:after="80"/>
      </w:pPr>
      <w:r>
        <w:rPr>
          <w:rFonts w:ascii="Arial" w:cs="Arial" w:eastAsia="Arial" w:hAnsi="Arial"/>
          <w:sz w:val="22"/>
          <w:szCs w:val="22"/>
        </w:rPr>
        <w:t xml:space="preserve">Thiel: Zero to One (2014) — mimetic competition as the enemy of monopoly innovation</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2. Philosophical Traditions at Work</w:t>
      </w:r>
    </w:p>
    <w:p>
      <w:pPr>
        <w:pStyle w:val="Heading2"/>
        <w:spacing w:after="120" w:before="240"/>
      </w:pPr>
      <w:r>
        <w:rPr>
          <w:rFonts w:ascii="Arial" w:cs="Arial" w:eastAsia="Arial" w:hAnsi="Arial"/>
          <w:b/>
          <w:bCs/>
          <w:color w:val="2E75B6"/>
          <w:sz w:val="26"/>
          <w:szCs w:val="26"/>
        </w:rPr>
        <w:t xml:space="preserve">2.1 Spengler and Civilisational Decline</w:t>
      </w:r>
    </w:p>
    <w:p>
      <w:pPr>
        <w:spacing w:after="160"/>
      </w:pPr>
      <w:r>
        <w:rPr>
          <w:rFonts w:ascii="Arial" w:cs="Arial" w:eastAsia="Arial" w:hAnsi="Arial"/>
          <w:color w:val="000000"/>
          <w:sz w:val="22"/>
          <w:szCs w:val="22"/>
        </w:rPr>
        <w:t xml:space="preserve">Thiel’s structure mirrors Oswald Spengler’s The Decline of the West (1918–22). Spengler argued that civilisations are organic: they have growth phases, maturity, and senescence. The West had entered its late phase — marked by massive bureaucracy, commodification of art, replacement of genuine creativity with mere technique, and political Caesarism as democratic institutions hollow out.</w:t>
      </w:r>
    </w:p>
    <w:p>
      <w:pPr>
        <w:spacing w:after="160"/>
      </w:pPr>
      <w:r>
        <w:rPr>
          <w:rFonts w:ascii="Arial" w:cs="Arial" w:eastAsia="Arial" w:hAnsi="Arial"/>
          <w:color w:val="000000"/>
          <w:sz w:val="22"/>
          <w:szCs w:val="22"/>
        </w:rPr>
        <w:t xml:space="preserve">Thiel’s observation that “science fiction has collapsed as a literary genre” and that “voters prefer Victorian houses” is Spenglerian in idiom. These are not economic data points — they are cultural diagnostics signalling that a civilisation has lost its productive mythological capacity, its ability to project forward. The West is, in Spengler’s terms, no longer Culture; it is Civilisation in the terminal sense.</w:t>
      </w:r>
    </w:p>
    <w:p>
      <w:pPr>
        <w:pStyle w:val="ListParagraph"/>
        <w:numPr>
          <w:ilvl w:val="0"/>
          <w:numId w:val="2"/>
        </w:numPr>
        <w:spacing w:after="80"/>
      </w:pPr>
      <w:r>
        <w:rPr>
          <w:rFonts w:ascii="Arial" w:cs="Arial" w:eastAsia="Arial" w:hAnsi="Arial"/>
          <w:sz w:val="22"/>
          <w:szCs w:val="22"/>
        </w:rPr>
        <w:t xml:space="preserve">Spengler: The Decline of the West (1918–22)</w:t>
      </w:r>
    </w:p>
    <w:p>
      <w:pPr>
        <w:pStyle w:val="ListParagraph"/>
        <w:numPr>
          <w:ilvl w:val="0"/>
          <w:numId w:val="2"/>
        </w:numPr>
        <w:spacing w:after="80"/>
      </w:pPr>
      <w:r>
        <w:rPr>
          <w:rFonts w:ascii="Arial" w:cs="Arial" w:eastAsia="Arial" w:hAnsi="Arial"/>
          <w:sz w:val="22"/>
          <w:szCs w:val="22"/>
        </w:rPr>
        <w:t xml:space="preserve">Toynbee: A Study of History (1934–61) — parallel civilisational morphology</w:t>
      </w:r>
    </w:p>
    <w:p>
      <w:pPr>
        <w:pStyle w:val="Heading2"/>
        <w:spacing w:after="120" w:before="240"/>
      </w:pPr>
      <w:r>
        <w:rPr>
          <w:rFonts w:ascii="Arial" w:cs="Arial" w:eastAsia="Arial" w:hAnsi="Arial"/>
          <w:b/>
          <w:bCs/>
          <w:color w:val="2E75B6"/>
          <w:sz w:val="26"/>
          <w:szCs w:val="26"/>
        </w:rPr>
        <w:t xml:space="preserve">2.2 Leo Strauss and the Crisis of Modernity</w:t>
      </w:r>
    </w:p>
    <w:p>
      <w:pPr>
        <w:spacing w:after="160"/>
      </w:pPr>
      <w:r>
        <w:rPr>
          <w:rFonts w:ascii="Arial" w:cs="Arial" w:eastAsia="Arial" w:hAnsi="Arial"/>
          <w:color w:val="000000"/>
          <w:sz w:val="22"/>
          <w:szCs w:val="22"/>
        </w:rPr>
        <w:t xml:space="preserve">Thiel is a Straussian by intellectual formation, having engaged seriously with the tradition through his Stanford and Stanford Law years. Strauss argued that the Enlightenment’s rejection of classical natural right — the idea that there is a genuinely human good anchored in nature or reason — had left modernity without normative foundations. The result is nihilism dressed as progressivism: the belief in History as substituting for the Good.</w:t>
      </w:r>
    </w:p>
    <w:p>
      <w:pPr>
        <w:spacing w:after="160"/>
      </w:pPr>
      <w:r>
        <w:rPr>
          <w:rFonts w:ascii="Arial" w:cs="Arial" w:eastAsia="Arial" w:hAnsi="Arial"/>
          <w:color w:val="000000"/>
          <w:sz w:val="22"/>
          <w:szCs w:val="22"/>
        </w:rPr>
        <w:t xml:space="preserve">Thiel’s critique of “progress” as an ideological concept rather than an empirical reality is Straussian. The culture war elites — both liberal and conservative in his framing — are united in their inability to ask whether things are genuinely getting better, because both sides have converted the question of the Good into a political team sport.</w:t>
      </w:r>
    </w:p>
    <w:p>
      <w:pPr>
        <w:pStyle w:val="ListParagraph"/>
        <w:numPr>
          <w:ilvl w:val="0"/>
          <w:numId w:val="2"/>
        </w:numPr>
        <w:spacing w:after="80"/>
      </w:pPr>
      <w:r>
        <w:rPr>
          <w:rFonts w:ascii="Arial" w:cs="Arial" w:eastAsia="Arial" w:hAnsi="Arial"/>
          <w:sz w:val="22"/>
          <w:szCs w:val="22"/>
        </w:rPr>
        <w:t xml:space="preserve">Strauss: Natural Right and History (1953)</w:t>
      </w:r>
    </w:p>
    <w:p>
      <w:pPr>
        <w:pStyle w:val="ListParagraph"/>
        <w:numPr>
          <w:ilvl w:val="0"/>
          <w:numId w:val="2"/>
        </w:numPr>
        <w:spacing w:after="80"/>
      </w:pPr>
      <w:r>
        <w:rPr>
          <w:rFonts w:ascii="Arial" w:cs="Arial" w:eastAsia="Arial" w:hAnsi="Arial"/>
          <w:sz w:val="22"/>
          <w:szCs w:val="22"/>
        </w:rPr>
        <w:t xml:space="preserve">Strauss: The City and Man (1964)</w:t>
      </w:r>
    </w:p>
    <w:p>
      <w:pPr>
        <w:pStyle w:val="Heading2"/>
        <w:spacing w:after="120" w:before="240"/>
      </w:pPr>
      <w:r>
        <w:rPr>
          <w:rFonts w:ascii="Arial" w:cs="Arial" w:eastAsia="Arial" w:hAnsi="Arial"/>
          <w:b/>
          <w:bCs/>
          <w:color w:val="2E75B6"/>
          <w:sz w:val="26"/>
          <w:szCs w:val="26"/>
        </w:rPr>
        <w:t xml:space="preserve">2.3 Keynesianism as Cargo Cult: Austrian and Post-Keynesian Echoes</w:t>
      </w:r>
    </w:p>
    <w:p>
      <w:pPr>
        <w:spacing w:after="160"/>
      </w:pPr>
      <w:r>
        <w:rPr>
          <w:rFonts w:ascii="Arial" w:cs="Arial" w:eastAsia="Arial" w:hAnsi="Arial"/>
          <w:color w:val="000000"/>
          <w:sz w:val="22"/>
          <w:szCs w:val="22"/>
        </w:rPr>
        <w:t xml:space="preserve">Section VI’s attack on Keynesianism as “fraud” and “cargo cult” thinking draws on both Austrian school (Hayek, Mises) and the more heterodox position that monetary expansion cannot substitute for genuine productivity growth. This is not a standard libertarian argument. Thiel’s critique is more specific: Keynesianism worked when there was a genuine technological tailwind (1930s–1960s) to validate the debt; without that tailwind, it is conjuration.</w:t>
      </w:r>
    </w:p>
    <w:p>
      <w:pPr>
        <w:spacing w:after="160"/>
      </w:pPr>
      <w:r>
        <w:rPr>
          <w:rFonts w:ascii="Arial" w:cs="Arial" w:eastAsia="Arial" w:hAnsi="Arial"/>
          <w:color w:val="000000"/>
          <w:sz w:val="22"/>
          <w:szCs w:val="22"/>
        </w:rPr>
        <w:t xml:space="preserve">This is actually closer to the Post-Keynesian innovation stagnation thesis (Robert Gordon’s The Rise and Fall of American Growth, 2016 — written after Thiel’s essay but drawing on the same data) than to orthodox Austrian economics. Gordon’s empirical work largely confirms Thiel’s 2011 intuition.</w:t>
      </w:r>
    </w:p>
    <w:p>
      <w:pPr>
        <w:pStyle w:val="ListParagraph"/>
        <w:numPr>
          <w:ilvl w:val="0"/>
          <w:numId w:val="2"/>
        </w:numPr>
        <w:spacing w:after="80"/>
      </w:pPr>
      <w:r>
        <w:rPr>
          <w:rFonts w:ascii="Arial" w:cs="Arial" w:eastAsia="Arial" w:hAnsi="Arial"/>
          <w:sz w:val="22"/>
          <w:szCs w:val="22"/>
        </w:rPr>
        <w:t xml:space="preserve">Hayek: The Pure Theory of Capital (1941)</w:t>
      </w:r>
    </w:p>
    <w:p>
      <w:pPr>
        <w:pStyle w:val="ListParagraph"/>
        <w:numPr>
          <w:ilvl w:val="0"/>
          <w:numId w:val="2"/>
        </w:numPr>
        <w:spacing w:after="80"/>
      </w:pPr>
      <w:r>
        <w:rPr>
          <w:rFonts w:ascii="Arial" w:cs="Arial" w:eastAsia="Arial" w:hAnsi="Arial"/>
          <w:sz w:val="22"/>
          <w:szCs w:val="22"/>
        </w:rPr>
        <w:t xml:space="preserve">Gordon: The Rise and Fall of American Growth (2016)</w:t>
      </w:r>
    </w:p>
    <w:p>
      <w:pPr>
        <w:pStyle w:val="ListParagraph"/>
        <w:numPr>
          <w:ilvl w:val="0"/>
          <w:numId w:val="2"/>
        </w:numPr>
        <w:spacing w:after="80"/>
      </w:pPr>
      <w:r>
        <w:rPr>
          <w:rFonts w:ascii="Arial" w:cs="Arial" w:eastAsia="Arial" w:hAnsi="Arial"/>
          <w:sz w:val="22"/>
          <w:szCs w:val="22"/>
        </w:rPr>
        <w:t xml:space="preserve">Cowen: The Great Stagnation (2011) — published same year, parallel thesis</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3. Philosophy, Religion, or Prediction? A Verdict</w:t>
      </w:r>
    </w:p>
    <w:p>
      <w:pPr>
        <w:pStyle w:val="Heading2"/>
        <w:spacing w:after="120" w:before="240"/>
      </w:pPr>
      <w:r>
        <w:rPr>
          <w:rFonts w:ascii="Arial" w:cs="Arial" w:eastAsia="Arial" w:hAnsi="Arial"/>
          <w:b/>
          <w:bCs/>
          <w:color w:val="2E75B6"/>
          <w:sz w:val="26"/>
          <w:szCs w:val="26"/>
        </w:rPr>
        <w:t xml:space="preserve">3.1 What It Is</w:t>
      </w:r>
    </w:p>
    <w:p>
      <w:pPr>
        <w:spacing w:after="160"/>
      </w:pPr>
      <w:r>
        <w:rPr>
          <w:rFonts w:ascii="Arial" w:cs="Arial" w:eastAsia="Arial" w:hAnsi="Arial"/>
          <w:color w:val="000000"/>
          <w:sz w:val="22"/>
          <w:szCs w:val="22"/>
        </w:rPr>
        <w:t xml:space="preserve">Thiel’s essay is primarily philosophical — in the tradition of cultural philosophy and philosophical anthropology rather than analytical philosophy. It is an attempt to diagnose the condition of Western modernity by triangulating between economic data, cultural observation, and a theologically-informed framework of civilisational meaning.</w:t>
      </w:r>
    </w:p>
    <w:p>
      <w:pPr>
        <w:spacing w:after="160"/>
      </w:pPr>
      <w:r>
        <w:rPr>
          <w:rFonts w:ascii="Arial" w:cs="Arial" w:eastAsia="Arial" w:hAnsi="Arial"/>
          <w:color w:val="000000"/>
          <w:sz w:val="22"/>
          <w:szCs w:val="22"/>
        </w:rPr>
        <w:t xml:space="preserve">The religious framing (the Revelation epigraph, the implicit Girardian structure) is a hermeneutic device, not a claim about divine intervention. Thiel is not predicting the End Times. He is using apocalyptic language in its original Greek sense: apokalypsis means “unveiling” or “revelation.” He is claiming to unveil what is actually happening behind the optimistic surface discourse.</w:t>
      </w:r>
    </w:p>
    <w:p>
      <w:pPr>
        <w:pStyle w:val="Heading2"/>
        <w:spacing w:after="120" w:before="240"/>
      </w:pPr>
      <w:r>
        <w:rPr>
          <w:rFonts w:ascii="Arial" w:cs="Arial" w:eastAsia="Arial" w:hAnsi="Arial"/>
          <w:b/>
          <w:bCs/>
          <w:color w:val="2E75B6"/>
          <w:sz w:val="26"/>
          <w:szCs w:val="26"/>
        </w:rPr>
        <w:t xml:space="preserve">3.2 What It Is Not</w:t>
      </w:r>
    </w:p>
    <w:p>
      <w:pPr>
        <w:spacing w:after="160"/>
      </w:pPr>
      <w:r>
        <w:rPr>
          <w:rFonts w:ascii="Arial" w:cs="Arial" w:eastAsia="Arial" w:hAnsi="Arial"/>
          <w:color w:val="000000"/>
          <w:sz w:val="22"/>
          <w:szCs w:val="22"/>
        </w:rPr>
        <w:t xml:space="preserve">It is not a literal religious prophecy. Thiel is an avowed Christian but operates in a sophisticated theological tradition (Girard, the Straussian engagement with Athens and Jerusalem) that is intellectually far from evangelical literalism. The Antichrist is not named, invoked, or implied in this essay.</w:t>
      </w:r>
    </w:p>
    <w:p>
      <w:pPr>
        <w:spacing w:after="160"/>
      </w:pPr>
      <w:r>
        <w:rPr>
          <w:rFonts w:ascii="Arial" w:cs="Arial" w:eastAsia="Arial" w:hAnsi="Arial"/>
          <w:color w:val="000000"/>
          <w:sz w:val="22"/>
          <w:szCs w:val="22"/>
        </w:rPr>
        <w:t xml:space="preserve">It is not a straightforward futures prediction either — though Thiel does make falsifiable claims (wage stagnation, energy failure, pharmaceutical pipeline collapse, political zero-sum dynamics) that can be assessed empirically.</w:t>
      </w:r>
    </w:p>
    <w:p>
      <w:pPr>
        <w:pStyle w:val="Heading2"/>
        <w:spacing w:after="120" w:before="240"/>
      </w:pPr>
      <w:r>
        <w:rPr>
          <w:rFonts w:ascii="Arial" w:cs="Arial" w:eastAsia="Arial" w:hAnsi="Arial"/>
          <w:b/>
          <w:bCs/>
          <w:color w:val="2E75B6"/>
          <w:sz w:val="26"/>
          <w:szCs w:val="26"/>
        </w:rPr>
        <w:t xml:space="preserve">3.3 The Antichrist Question Directly</w:t>
      </w:r>
    </w:p>
    <w:p>
      <w:pPr>
        <w:spacing w:after="160"/>
      </w:pPr>
      <w:r>
        <w:rPr>
          <w:rFonts w:ascii="Arial" w:cs="Arial" w:eastAsia="Arial" w:hAnsi="Arial"/>
          <w:color w:val="000000"/>
          <w:sz w:val="22"/>
          <w:szCs w:val="22"/>
        </w:rPr>
        <w:t xml:space="preserve">There is no reference to the Antichrist in this essay. If you encountered that framing, it likely comes from Thiel’s broader intellectual world: his admiration of Girard’s reading of the Antichrist as the ultimate mimetic double (the figure who perfectly imitates Christ while inverting him), and Thiel’s occasional use in other contexts of the term to describe technological or political developments that mimic genuine progress while producing its opposite.</w:t>
      </w:r>
    </w:p>
    <w:p>
      <w:pPr>
        <w:spacing w:after="160"/>
      </w:pPr>
      <w:r>
        <w:rPr>
          <w:rFonts w:ascii="Arial" w:cs="Arial" w:eastAsia="Arial" w:hAnsi="Arial"/>
          <w:color w:val="000000"/>
          <w:sz w:val="22"/>
          <w:szCs w:val="22"/>
        </w:rPr>
        <w:t xml:space="preserve">In Girardian theology, the Antichrist is not a supernatural villain but a structural position: the system that produces the appearance of salvation (growth, progress, liberation) while perpetuating and escalating sacrificial violence. Thiel’s implicit diagnosis could be read as: financialised capitalism and identity-politics progressivism together constitute such a mimetic inversion — claiming the mantle of Progress while presiding over its actual cessation.</w:t>
      </w:r>
    </w:p>
    <w:p>
      <w:pPr>
        <w:pBdr>
          <w:left w:val="single" w:color="2E75B6" w:sz="12" w:space="10"/>
        </w:pBdr>
        <w:spacing w:after="160" w:before="120"/>
        <w:ind w:left="720" w:right="720"/>
      </w:pPr>
      <w:r>
        <w:rPr>
          <w:rFonts w:ascii="Arial" w:cs="Arial" w:eastAsia="Arial" w:hAnsi="Arial"/>
          <w:color w:val="595959"/>
          <w:sz w:val="20"/>
          <w:szCs w:val="20"/>
        </w:rPr>
        <w:t xml:space="preserve">This is not Revelation-as-prediction. It is Revelation-as-diagnostic-grammar — a set of structural categories for reading civilisational pathology.</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4. Fifteen Years of Evidence: How Does the Thesis Hold?</w:t>
      </w:r>
    </w:p>
    <w:p>
      <w:pPr>
        <w:pStyle w:val="Heading2"/>
        <w:spacing w:after="120" w:before="240"/>
      </w:pPr>
      <w:r>
        <w:rPr>
          <w:rFonts w:ascii="Arial" w:cs="Arial" w:eastAsia="Arial" w:hAnsi="Arial"/>
          <w:b/>
          <w:bCs/>
          <w:color w:val="2E75B6"/>
          <w:sz w:val="26"/>
          <w:szCs w:val="26"/>
        </w:rPr>
        <w:t xml:space="preserve">4.1 Confirmations</w:t>
      </w:r>
    </w:p>
    <w:p>
      <w:pPr>
        <w:pStyle w:val="ListParagraph"/>
        <w:numPr>
          <w:ilvl w:val="0"/>
          <w:numId w:val="2"/>
        </w:numPr>
        <w:spacing w:after="80"/>
      </w:pPr>
      <w:r>
        <w:rPr>
          <w:rFonts w:ascii="Arial" w:cs="Arial" w:eastAsia="Arial" w:hAnsi="Arial"/>
          <w:sz w:val="22"/>
          <w:szCs w:val="22"/>
        </w:rPr>
        <w:t xml:space="preserve">Wage stagnation: Real median wages remained broadly flat through 2019 in the US, with only partial recovery post-COVID.</w:t>
      </w:r>
    </w:p>
    <w:p>
      <w:pPr>
        <w:pStyle w:val="ListParagraph"/>
        <w:numPr>
          <w:ilvl w:val="0"/>
          <w:numId w:val="2"/>
        </w:numPr>
        <w:spacing w:after="80"/>
      </w:pPr>
      <w:r>
        <w:rPr>
          <w:rFonts w:ascii="Arial" w:cs="Arial" w:eastAsia="Arial" w:hAnsi="Arial"/>
          <w:sz w:val="22"/>
          <w:szCs w:val="22"/>
        </w:rPr>
        <w:t xml:space="preserve">Energy: The fracking revolution partially disrupted the stagnation thesis, but fusion remains perpetually 20 years away. Energy transition costs confirmed the “too expensive to afford” pattern.</w:t>
      </w:r>
    </w:p>
    <w:p>
      <w:pPr>
        <w:pStyle w:val="ListParagraph"/>
        <w:numPr>
          <w:ilvl w:val="0"/>
          <w:numId w:val="2"/>
        </w:numPr>
        <w:spacing w:after="80"/>
      </w:pPr>
      <w:r>
        <w:rPr>
          <w:rFonts w:ascii="Arial" w:cs="Arial" w:eastAsia="Arial" w:hAnsi="Arial"/>
          <w:sz w:val="22"/>
          <w:szCs w:val="22"/>
        </w:rPr>
        <w:t xml:space="preserve">Pharmaceutical pipelines: The blockbuster drought continued until mRNA technology (COVID vaccines) partially revived the pipeline. Alzheimer’s drug development remained a graveyard until lecanemab in 2023.</w:t>
      </w:r>
    </w:p>
    <w:p>
      <w:pPr>
        <w:pStyle w:val="ListParagraph"/>
        <w:numPr>
          <w:ilvl w:val="0"/>
          <w:numId w:val="2"/>
        </w:numPr>
        <w:spacing w:after="80"/>
      </w:pPr>
      <w:r>
        <w:rPr>
          <w:rFonts w:ascii="Arial" w:cs="Arial" w:eastAsia="Arial" w:hAnsi="Arial"/>
          <w:sz w:val="22"/>
          <w:szCs w:val="22"/>
        </w:rPr>
        <w:t xml:space="preserve">Zero-sum politics: 2016–2026 has been the most nakedly zero-sum political decade in US history since the Civil War era. The Thiel prediction here was prescient.</w:t>
      </w:r>
    </w:p>
    <w:p>
      <w:pPr>
        <w:pStyle w:val="ListParagraph"/>
        <w:numPr>
          <w:ilvl w:val="0"/>
          <w:numId w:val="2"/>
        </w:numPr>
        <w:spacing w:after="80"/>
      </w:pPr>
      <w:r>
        <w:rPr>
          <w:rFonts w:ascii="Arial" w:cs="Arial" w:eastAsia="Arial" w:hAnsi="Arial"/>
          <w:sz w:val="22"/>
          <w:szCs w:val="22"/>
        </w:rPr>
        <w:t xml:space="preserve">Financialisation over innovation: The 2010s were characterised by buybacks, leverage, and asset inflation — exactly the leverage-substituting-for-progress pattern Thiel described.</w:t>
      </w:r>
    </w:p>
    <w:p>
      <w:pPr>
        <w:pStyle w:val="Heading2"/>
        <w:spacing w:after="120" w:before="240"/>
      </w:pPr>
      <w:r>
        <w:rPr>
          <w:rFonts w:ascii="Arial" w:cs="Arial" w:eastAsia="Arial" w:hAnsi="Arial"/>
          <w:b/>
          <w:bCs/>
          <w:color w:val="2E75B6"/>
          <w:sz w:val="26"/>
          <w:szCs w:val="26"/>
        </w:rPr>
        <w:t xml:space="preserve">4.2 Complications and Challenges</w:t>
      </w:r>
    </w:p>
    <w:p>
      <w:pPr>
        <w:pStyle w:val="ListParagraph"/>
        <w:numPr>
          <w:ilvl w:val="0"/>
          <w:numId w:val="2"/>
        </w:numPr>
        <w:spacing w:after="80"/>
      </w:pPr>
      <w:r>
        <w:rPr>
          <w:rFonts w:ascii="Arial" w:cs="Arial" w:eastAsia="Arial" w:hAnsi="Arial"/>
          <w:sz w:val="22"/>
          <w:szCs w:val="22"/>
        </w:rPr>
        <w:t xml:space="preserve">Generative AI (2022–present): The largest single challenge to the stagnation thesis. LLMs represent genuine general-purpose technology with measurable productivity implications. Thiel himself is an investor in this space and has partly updated.</w:t>
      </w:r>
    </w:p>
    <w:p>
      <w:pPr>
        <w:pStyle w:val="ListParagraph"/>
        <w:numPr>
          <w:ilvl w:val="0"/>
          <w:numId w:val="2"/>
        </w:numPr>
        <w:spacing w:after="80"/>
      </w:pPr>
      <w:r>
        <w:rPr>
          <w:rFonts w:ascii="Arial" w:cs="Arial" w:eastAsia="Arial" w:hAnsi="Arial"/>
          <w:sz w:val="22"/>
          <w:szCs w:val="22"/>
        </w:rPr>
        <w:t xml:space="preserve">SpaceX and the return of ambitious rocketry: Thiel lamented the end of the space age; Musk (a Thiel associate) partially reversed it — though commercial rather than governmental.</w:t>
      </w:r>
    </w:p>
    <w:p>
      <w:pPr>
        <w:pStyle w:val="ListParagraph"/>
        <w:numPr>
          <w:ilvl w:val="0"/>
          <w:numId w:val="2"/>
        </w:numPr>
        <w:spacing w:after="80"/>
      </w:pPr>
      <w:r>
        <w:rPr>
          <w:rFonts w:ascii="Arial" w:cs="Arial" w:eastAsia="Arial" w:hAnsi="Arial"/>
          <w:sz w:val="22"/>
          <w:szCs w:val="22"/>
        </w:rPr>
        <w:t xml:space="preserve">The Green Revolution critique: Solar and wind costs have collapsed by 80–90% since 2011, falsifying the “too expensive to afford” claim in the energy transition — though grid integration costs remain a genuine challenge.</w:t>
      </w:r>
    </w:p>
    <w:p>
      <w:pPr>
        <w:pStyle w:val="Heading2"/>
        <w:spacing w:after="120" w:before="240"/>
      </w:pPr>
      <w:r>
        <w:rPr>
          <w:rFonts w:ascii="Arial" w:cs="Arial" w:eastAsia="Arial" w:hAnsi="Arial"/>
          <w:b/>
          <w:bCs/>
          <w:color w:val="2E75B6"/>
          <w:sz w:val="26"/>
          <w:szCs w:val="26"/>
        </w:rPr>
        <w:t xml:space="preserve">4.3 Net Assessment</w:t>
      </w:r>
    </w:p>
    <w:p>
      <w:pPr>
        <w:spacing w:after="160"/>
      </w:pPr>
      <w:r>
        <w:rPr>
          <w:rFonts w:ascii="Arial" w:cs="Arial" w:eastAsia="Arial" w:hAnsi="Arial"/>
          <w:color w:val="000000"/>
          <w:sz w:val="22"/>
          <w:szCs w:val="22"/>
        </w:rPr>
        <w:t xml:space="preserve">Thiel’s structural diagnosis was broadly right about 2011–2022. The period 2022–2026 introduces genuine complication: AI productivity gains, space commercialisation, and energy cost collapse are real signals of resumed innovation in specific domains. Whether these constitute the broad-based technological lift Thiel said was absent — rather than highly concentrated gains that widen inequality further — remains the open question of the decade.</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5. Recommended Reading Framework</w:t>
      </w:r>
    </w:p>
    <w:p>
      <w:pPr>
        <w:pStyle w:val="Heading2"/>
        <w:spacing w:after="120" w:before="240"/>
      </w:pPr>
      <w:r>
        <w:rPr>
          <w:rFonts w:ascii="Arial" w:cs="Arial" w:eastAsia="Arial" w:hAnsi="Arial"/>
          <w:b/>
          <w:bCs/>
          <w:color w:val="2E75B6"/>
          <w:sz w:val="26"/>
          <w:szCs w:val="26"/>
        </w:rPr>
        <w:t xml:space="preserve">Theological and Eschatological Frame</w:t>
      </w:r>
    </w:p>
    <w:p>
      <w:pPr>
        <w:pStyle w:val="ListParagraph"/>
        <w:numPr>
          <w:ilvl w:val="0"/>
          <w:numId w:val="2"/>
        </w:numPr>
        <w:spacing w:after="80"/>
      </w:pPr>
      <w:r>
        <w:rPr>
          <w:rFonts w:ascii="Arial" w:cs="Arial" w:eastAsia="Arial" w:hAnsi="Arial"/>
          <w:sz w:val="22"/>
          <w:szCs w:val="22"/>
        </w:rPr>
        <w:t xml:space="preserve">René Girard — Things Hidden Since the Foundation of the World (1978)</w:t>
      </w:r>
    </w:p>
    <w:p>
      <w:pPr>
        <w:pStyle w:val="ListParagraph"/>
        <w:numPr>
          <w:ilvl w:val="0"/>
          <w:numId w:val="2"/>
        </w:numPr>
        <w:spacing w:after="80"/>
      </w:pPr>
      <w:r>
        <w:rPr>
          <w:rFonts w:ascii="Arial" w:cs="Arial" w:eastAsia="Arial" w:hAnsi="Arial"/>
          <w:sz w:val="22"/>
          <w:szCs w:val="22"/>
        </w:rPr>
        <w:t xml:space="preserve">René Girard — Battling to the End (2010) — his most explicitly apocalyptic work</w:t>
      </w:r>
    </w:p>
    <w:p>
      <w:pPr>
        <w:pStyle w:val="ListParagraph"/>
        <w:numPr>
          <w:ilvl w:val="0"/>
          <w:numId w:val="2"/>
        </w:numPr>
        <w:spacing w:after="80"/>
      </w:pPr>
      <w:r>
        <w:rPr>
          <w:rFonts w:ascii="Arial" w:cs="Arial" w:eastAsia="Arial" w:hAnsi="Arial"/>
          <w:sz w:val="22"/>
          <w:szCs w:val="22"/>
        </w:rPr>
        <w:t xml:space="preserve">Peter Thiel with Blake Masters — Zero to One (2014) — for the mimetic competition argument in economic form</w:t>
      </w:r>
    </w:p>
    <w:p>
      <w:pPr>
        <w:pStyle w:val="Heading2"/>
        <w:spacing w:after="120" w:before="240"/>
      </w:pPr>
      <w:r>
        <w:rPr>
          <w:rFonts w:ascii="Arial" w:cs="Arial" w:eastAsia="Arial" w:hAnsi="Arial"/>
          <w:b/>
          <w:bCs/>
          <w:color w:val="2E75B6"/>
          <w:sz w:val="26"/>
          <w:szCs w:val="26"/>
        </w:rPr>
        <w:t xml:space="preserve">Civilisational Philosophy</w:t>
      </w:r>
    </w:p>
    <w:p>
      <w:pPr>
        <w:pStyle w:val="ListParagraph"/>
        <w:numPr>
          <w:ilvl w:val="0"/>
          <w:numId w:val="2"/>
        </w:numPr>
        <w:spacing w:after="80"/>
      </w:pPr>
      <w:r>
        <w:rPr>
          <w:rFonts w:ascii="Arial" w:cs="Arial" w:eastAsia="Arial" w:hAnsi="Arial"/>
          <w:sz w:val="22"/>
          <w:szCs w:val="22"/>
        </w:rPr>
        <w:t xml:space="preserve">Oswald Spengler — The Decline of the West (1918–22)</w:t>
      </w:r>
    </w:p>
    <w:p>
      <w:pPr>
        <w:pStyle w:val="ListParagraph"/>
        <w:numPr>
          <w:ilvl w:val="0"/>
          <w:numId w:val="2"/>
        </w:numPr>
        <w:spacing w:after="80"/>
      </w:pPr>
      <w:r>
        <w:rPr>
          <w:rFonts w:ascii="Arial" w:cs="Arial" w:eastAsia="Arial" w:hAnsi="Arial"/>
          <w:sz w:val="22"/>
          <w:szCs w:val="22"/>
        </w:rPr>
        <w:t xml:space="preserve">Leo Strauss — Natural Right and History (1953)</w:t>
      </w:r>
    </w:p>
    <w:p>
      <w:pPr>
        <w:pStyle w:val="ListParagraph"/>
        <w:numPr>
          <w:ilvl w:val="0"/>
          <w:numId w:val="2"/>
        </w:numPr>
        <w:spacing w:after="80"/>
      </w:pPr>
      <w:r>
        <w:rPr>
          <w:rFonts w:ascii="Arial" w:cs="Arial" w:eastAsia="Arial" w:hAnsi="Arial"/>
          <w:sz w:val="22"/>
          <w:szCs w:val="22"/>
        </w:rPr>
        <w:t xml:space="preserve">Hannah Arendt — The Human Condition (1958) — the vita activa framing of technological modernity</w:t>
      </w:r>
    </w:p>
    <w:p>
      <w:pPr>
        <w:pStyle w:val="Heading2"/>
        <w:spacing w:after="120" w:before="240"/>
      </w:pPr>
      <w:r>
        <w:rPr>
          <w:rFonts w:ascii="Arial" w:cs="Arial" w:eastAsia="Arial" w:hAnsi="Arial"/>
          <w:b/>
          <w:bCs/>
          <w:color w:val="2E75B6"/>
          <w:sz w:val="26"/>
          <w:szCs w:val="26"/>
        </w:rPr>
        <w:t xml:space="preserve">Economic and Innovation Stagnation</w:t>
      </w:r>
    </w:p>
    <w:p>
      <w:pPr>
        <w:pStyle w:val="ListParagraph"/>
        <w:numPr>
          <w:ilvl w:val="0"/>
          <w:numId w:val="2"/>
        </w:numPr>
        <w:spacing w:after="80"/>
      </w:pPr>
      <w:r>
        <w:rPr>
          <w:rFonts w:ascii="Arial" w:cs="Arial" w:eastAsia="Arial" w:hAnsi="Arial"/>
          <w:sz w:val="22"/>
          <w:szCs w:val="22"/>
        </w:rPr>
        <w:t xml:space="preserve">Tyler Cowen — The Great Stagnation (2011)</w:t>
      </w:r>
    </w:p>
    <w:p>
      <w:pPr>
        <w:pStyle w:val="ListParagraph"/>
        <w:numPr>
          <w:ilvl w:val="0"/>
          <w:numId w:val="2"/>
        </w:numPr>
        <w:spacing w:after="80"/>
      </w:pPr>
      <w:r>
        <w:rPr>
          <w:rFonts w:ascii="Arial" w:cs="Arial" w:eastAsia="Arial" w:hAnsi="Arial"/>
          <w:sz w:val="22"/>
          <w:szCs w:val="22"/>
        </w:rPr>
        <w:t xml:space="preserve">Robert J. Gordon — The Rise and Fall of American Growth (2016)</w:t>
      </w:r>
    </w:p>
    <w:p>
      <w:pPr>
        <w:pStyle w:val="ListParagraph"/>
        <w:numPr>
          <w:ilvl w:val="0"/>
          <w:numId w:val="2"/>
        </w:numPr>
        <w:spacing w:after="80"/>
      </w:pPr>
      <w:r>
        <w:rPr>
          <w:rFonts w:ascii="Arial" w:cs="Arial" w:eastAsia="Arial" w:hAnsi="Arial"/>
          <w:sz w:val="22"/>
          <w:szCs w:val="22"/>
        </w:rPr>
        <w:t xml:space="preserve">William Janeway — Doing Capitalism in the Innovation Economy (2012)</w:t>
      </w:r>
    </w:p>
    <w:p>
      <w:pPr>
        <w:pStyle w:val="Heading2"/>
        <w:spacing w:after="120" w:before="240"/>
      </w:pPr>
      <w:r>
        <w:rPr>
          <w:rFonts w:ascii="Arial" w:cs="Arial" w:eastAsia="Arial" w:hAnsi="Arial"/>
          <w:b/>
          <w:bCs/>
          <w:color w:val="2E75B6"/>
          <w:sz w:val="26"/>
          <w:szCs w:val="26"/>
        </w:rPr>
        <w:t xml:space="preserve">Political Economy of Zero-Sum Dynamics</w:t>
      </w:r>
    </w:p>
    <w:p>
      <w:pPr>
        <w:pStyle w:val="ListParagraph"/>
        <w:numPr>
          <w:ilvl w:val="0"/>
          <w:numId w:val="2"/>
        </w:numPr>
        <w:spacing w:after="80"/>
      </w:pPr>
      <w:r>
        <w:rPr>
          <w:rFonts w:ascii="Arial" w:cs="Arial" w:eastAsia="Arial" w:hAnsi="Arial"/>
          <w:sz w:val="22"/>
          <w:szCs w:val="22"/>
        </w:rPr>
        <w:t xml:space="preserve">Martin Gurri — The Revolt of the Public (2014) — the political consequences of the information/expectation gap</w:t>
      </w:r>
    </w:p>
    <w:p>
      <w:pPr>
        <w:pStyle w:val="ListParagraph"/>
        <w:numPr>
          <w:ilvl w:val="0"/>
          <w:numId w:val="2"/>
        </w:numPr>
        <w:spacing w:after="80"/>
      </w:pPr>
      <w:r>
        <w:rPr>
          <w:rFonts w:ascii="Arial" w:cs="Arial" w:eastAsia="Arial" w:hAnsi="Arial"/>
          <w:sz w:val="22"/>
          <w:szCs w:val="22"/>
        </w:rPr>
        <w:t xml:space="preserve">Michael Lind — The New Class War (2020)</w:t>
      </w:r>
    </w:p>
    <w:p>
      <w:pPr>
        <w:pBdr>
          <w:bottom w:val="single" w:color="BDD7EE" w:sz="6" w:space="4"/>
        </w:pBdr>
        <w:spacing w:after="160" w:before="160"/>
      </w:pPr>
      <w:r>
        <w:t xml:space="preserve"/>
      </w:r>
    </w:p>
    <w:p>
      <w:pPr>
        <w:pStyle w:val="Heading1"/>
        <w:spacing w:after="160" w:before="320"/>
      </w:pPr>
      <w:r>
        <w:rPr>
          <w:rFonts w:ascii="Arial" w:cs="Arial" w:eastAsia="Arial" w:hAnsi="Arial"/>
          <w:b/>
          <w:bCs/>
          <w:color w:val="1F4E79"/>
          <w:sz w:val="32"/>
          <w:szCs w:val="32"/>
        </w:rPr>
        <w:t xml:space="preserve">Conclusion</w:t>
      </w:r>
    </w:p>
    <w:p>
      <w:pPr>
        <w:spacing w:after="160"/>
      </w:pPr>
      <w:r>
        <w:rPr>
          <w:rFonts w:ascii="Arial" w:cs="Arial" w:eastAsia="Arial" w:hAnsi="Arial"/>
          <w:color w:val="000000"/>
          <w:sz w:val="22"/>
          <w:szCs w:val="22"/>
        </w:rPr>
        <w:t xml:space="preserve">Thiel’s “End of the Future” is a work of civilisational philosophy using biblical eschatology as its diagnostic grammar. The Revelation epigraph signals not prophecy but method: reading present conditions through a framework calibrated to detect the gap between surface optimism and structural decay.</w:t>
      </w:r>
    </w:p>
    <w:p>
      <w:pPr>
        <w:spacing w:after="160"/>
      </w:pPr>
      <w:r>
        <w:rPr>
          <w:rFonts w:ascii="Arial" w:cs="Arial" w:eastAsia="Arial" w:hAnsi="Arial"/>
          <w:color w:val="000000"/>
          <w:sz w:val="22"/>
          <w:szCs w:val="22"/>
        </w:rPr>
        <w:t xml:space="preserve">The Antichrist — if it appears in Thiel’s broader intellectual world — should be read through Girard: not as supernatural entity but as the structural inversion of genuine progress, the system that performs salvation while perpetuating sacrifice. In this essay specifically, that role is implicitly assigned to financialised capitalism and identity-politics progressivism together.</w:t>
      </w:r>
    </w:p>
    <w:p>
      <w:pPr>
        <w:spacing w:after="160"/>
      </w:pPr>
      <w:r>
        <w:rPr>
          <w:rFonts w:ascii="Arial" w:cs="Arial" w:eastAsia="Arial" w:hAnsi="Arial"/>
          <w:color w:val="000000"/>
          <w:sz w:val="22"/>
          <w:szCs w:val="22"/>
        </w:rPr>
        <w:t xml:space="preserve">As a predictive document, it held well for a decade. The 2022–present AI and energy transition disrupts the thesis at the margins without refuting the core structural argument about the political and social consequences of growth failure. Those consequences are now plainly visible.</w:t>
      </w:r>
    </w:p>
    <w:p>
      <w:pPr>
        <w:spacing w:after="80" w:before="240"/>
      </w:pPr>
      <w:r>
        <w:rPr>
          <w:rFonts w:ascii="Arial" w:cs="Arial" w:eastAsia="Arial" w:hAnsi="Arial"/>
          <w:color w:val="595959"/>
          <w:sz w:val="18"/>
          <w:szCs w:val="18"/>
        </w:rPr>
        <w:t xml:space="preserve">Colin Henderson | Bankwatch.ca | May 2026</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DD7EE" w:sz="6" w:space="4"/>
      </w:pBdr>
      <w:jc w:val="right"/>
    </w:pPr>
    <w:r>
      <w:rPr>
        <w:rFonts w:ascii="Arial" w:cs="Arial" w:eastAsia="Arial" w:hAnsi="Arial"/>
        <w:color w:val="595959"/>
        <w:sz w:val="18"/>
        <w:szCs w:val="18"/>
      </w:rPr>
      <w:t xml:space="preserve">Colin Henderson | Bankwatch | May 2026  —  Page </w:t>
    </w:r>
    <w:r>
      <w:rPr>
        <w:rFonts w:ascii="Arial" w:cs="Arial" w:eastAsia="Arial" w:hAnsi="Arial"/>
        <w:color w:val="595959"/>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6" w:space="4"/>
      </w:pBdr>
    </w:pPr>
    <w:r>
      <w:rPr>
        <w:rFonts w:ascii="Arial" w:cs="Arial" w:eastAsia="Arial" w:hAnsi="Arial"/>
        <w:color w:val="595959"/>
        <w:sz w:val="18"/>
        <w:szCs w:val="18"/>
      </w:rPr>
      <w:t xml:space="preserve">Thiel — The End of the Future: Analytical Report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Arial" w:cs="Arial" w:eastAsia="Arial" w:hAnsi="Arial"/>
      <w:b/>
      <w:bCs/>
      <w:color w:val="1F4E79"/>
      <w:sz w:val="32"/>
      <w:szCs w:val="32"/>
    </w:rPr>
  </w:style>
  <w:style w:type="paragraph" w:styleId="Heading2">
    <w:name w:val="Heading 2"/>
    <w:basedOn w:val="Normal"/>
    <w:next w:val="Normal"/>
    <w:qFormat/>
    <w:pPr>
      <w:spacing w:after="120" w:before="24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2026-05-30T21:37:05.165Z</dcterms:created>
  <dcterms:modified xsi:type="dcterms:W3CDTF">2026-05-30T21:37:05.168Z</dcterms:modified>
</cp:coreProperties>
</file>

<file path=docProps/custom.xml><?xml version="1.0" encoding="utf-8"?>
<Properties xmlns="http://schemas.openxmlformats.org/officeDocument/2006/custom-properties" xmlns:vt="http://schemas.openxmlformats.org/officeDocument/2006/docPropsVTypes"/>
</file>